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keepNext w:val="0"/>
        <w:keepLines w:val="0"/>
        <w:widowControl w:val="0"/>
        <w:shd w:val="clear" w:color="auto" w:fill="auto"/>
        <w:spacing w:before="0" w:beforeLines="0" w:beforeAutospacing="0" w:after="0" w:afterLines="0" w:afterAutospacing="0" w:line="240" w:lineRule="auto"/>
        <w:ind w:left="29" w:right="0" w:firstLine="0"/>
        <w:jc w:val="left"/>
        <w:rPr>
          <w:rFonts w:hint="default"/>
          <w:sz w:val="22"/>
        </w:rPr>
      </w:pPr>
      <w:r>
        <w:rPr>
          <w:rFonts w:hint="default"/>
          <w:color w:val="000000"/>
          <w:spacing w:val="0"/>
          <w:w w:val="100"/>
          <w:position w:val="0"/>
          <w:sz w:val="22"/>
        </w:rPr>
        <w:t>別表１</w:t>
      </w:r>
      <w:r>
        <w:rPr>
          <w:rFonts w:hint="default"/>
          <w:color w:val="000000"/>
          <w:spacing w:val="0"/>
          <w:w w:val="100"/>
          <w:position w:val="0"/>
          <w:sz w:val="22"/>
        </w:rPr>
        <w:t xml:space="preserve"> </w:t>
      </w:r>
      <w:r>
        <w:rPr>
          <w:rFonts w:hint="default"/>
          <w:color w:val="000000"/>
          <w:spacing w:val="0"/>
          <w:w w:val="100"/>
          <w:position w:val="0"/>
          <w:sz w:val="22"/>
        </w:rPr>
        <w:t>企画提案書記載内容</w:t>
      </w:r>
    </w:p>
    <w:tbl>
      <w:tblPr>
        <w:tblStyle w:val="11"/>
        <w:jc w:val="left"/>
        <w:tblInd w:w="-43" w:type="dxa"/>
        <w:tblLayout w:type="fixed"/>
        <w:tblLook w:firstRow="1" w:lastRow="1" w:firstColumn="1" w:lastColumn="1" w:noHBand="0" w:noVBand="0" w:val="01E0"/>
      </w:tblPr>
      <w:tblGrid>
        <w:gridCol w:w="659"/>
        <w:gridCol w:w="1803"/>
        <w:gridCol w:w="7542"/>
      </w:tblGrid>
      <w:tr>
        <w:trPr>
          <w:trHeight w:val="328" w:hRule="exact"/>
        </w:trPr>
        <w:tc>
          <w:tcPr>
            <w:tcW w:w="6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60" w:lineRule="exact"/>
              <w:ind w:left="0" w:right="0" w:firstLine="0"/>
              <w:jc w:val="center"/>
              <w:rPr>
                <w:rFonts w:hint="default"/>
                <w:sz w:val="22"/>
              </w:rPr>
            </w:pPr>
            <w:r>
              <w:rPr>
                <w:rFonts w:hint="default"/>
                <w:color w:val="000000"/>
                <w:spacing w:val="0"/>
                <w:w w:val="100"/>
                <w:position w:val="0"/>
                <w:sz w:val="22"/>
              </w:rPr>
              <w:t>番号</w:t>
            </w:r>
          </w:p>
        </w:tc>
        <w:tc>
          <w:tcPr>
            <w:tcW w:w="18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60" w:lineRule="exact"/>
              <w:ind w:left="0" w:right="0" w:firstLine="0"/>
              <w:jc w:val="center"/>
              <w:rPr>
                <w:rFonts w:hint="default"/>
                <w:sz w:val="22"/>
              </w:rPr>
            </w:pPr>
            <w:r>
              <w:rPr>
                <w:rFonts w:hint="default"/>
                <w:color w:val="000000"/>
                <w:spacing w:val="0"/>
                <w:w w:val="100"/>
                <w:position w:val="0"/>
                <w:sz w:val="22"/>
              </w:rPr>
              <w:t>項目</w:t>
            </w:r>
          </w:p>
        </w:tc>
        <w:tc>
          <w:tcPr>
            <w:tcW w:w="75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8"/>
              <w:keepNext w:val="0"/>
              <w:keepLines w:val="0"/>
              <w:widowControl w:val="0"/>
              <w:shd w:val="clear" w:color="auto" w:fill="auto"/>
              <w:spacing w:before="0" w:beforeLines="0" w:beforeAutospacing="0" w:after="0" w:afterLines="0" w:afterAutospacing="0" w:line="260" w:lineRule="exact"/>
              <w:ind w:left="0" w:right="0" w:firstLine="0"/>
              <w:jc w:val="center"/>
              <w:rPr>
                <w:rFonts w:hint="default"/>
                <w:sz w:val="22"/>
              </w:rPr>
            </w:pPr>
            <w:r>
              <w:rPr>
                <w:rFonts w:hint="default"/>
                <w:color w:val="000000"/>
                <w:spacing w:val="0"/>
                <w:w w:val="100"/>
                <w:position w:val="0"/>
                <w:sz w:val="22"/>
              </w:rPr>
              <w:t>記載内容</w:t>
            </w:r>
          </w:p>
        </w:tc>
      </w:tr>
      <w:tr>
        <w:trPr>
          <w:trHeight w:val="752" w:hRule="exact"/>
        </w:trPr>
        <w:tc>
          <w:tcPr>
            <w:tcW w:w="6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leftChars="0" w:right="0" w:righ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1</w:t>
            </w:r>
          </w:p>
        </w:tc>
        <w:tc>
          <w:tcPr>
            <w:tcW w:w="18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leftChars="0" w:right="0" w:rightChars="0" w:firstLine="0" w:firstLineChars="0"/>
              <w:jc w:val="left"/>
              <w:rPr>
                <w:rFonts w:hint="default"/>
                <w:sz w:val="22"/>
              </w:rPr>
            </w:pPr>
            <w:r>
              <w:rPr>
                <w:rFonts w:hint="default"/>
                <w:color w:val="000000"/>
                <w:spacing w:val="0"/>
                <w:w w:val="100"/>
                <w:position w:val="0"/>
                <w:sz w:val="22"/>
              </w:rPr>
              <w:t>業務実施方針</w:t>
            </w:r>
          </w:p>
        </w:tc>
        <w:tc>
          <w:tcPr>
            <w:tcW w:w="75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・本業務の実施目的を踏まえて、実施に対する基本的な考え方やコンセプト、包括管理業務に関するノウハウなどを記載すること。</w:t>
            </w:r>
          </w:p>
        </w:tc>
      </w:tr>
      <w:tr>
        <w:trPr>
          <w:trHeight w:val="3439" w:hRule="exact"/>
        </w:trPr>
        <w:tc>
          <w:tcPr>
            <w:tcW w:w="6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leftChars="0" w:right="0" w:righ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2</w:t>
            </w:r>
          </w:p>
        </w:tc>
        <w:tc>
          <w:tcPr>
            <w:tcW w:w="18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業務実施体制、</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緊急時の対応</w:t>
            </w:r>
          </w:p>
        </w:tc>
        <w:tc>
          <w:tcPr>
            <w:tcW w:w="75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・本業務の通常時の実施体制について、組織、職務分担、配置する人員体制、配置場所等が分かるよう記載すること。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・常駐する人員体制のみでなく、本社、支社等からのバックアップ体制や連携についても記載すること。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・総括責任者に求められると考える資質・資格について記載し、それに基づいてどのような人選をするのか記載すること。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・業務責任者及び業務従事者に求められると考える資質・資格について記載すること。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・不具合等が発生した場合の通報窓口の在り方について、具体的に記載すること。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・事故や緊急修繕発生時の対応方針と業務フロー、災害発生時における業務継続体制について記載すること。</w:t>
            </w:r>
          </w:p>
        </w:tc>
      </w:tr>
      <w:tr>
        <w:trPr>
          <w:trHeight w:val="1267" w:hRule="exact"/>
        </w:trPr>
        <w:tc>
          <w:tcPr>
            <w:tcW w:w="6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leftChars="0" w:right="0" w:righ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3</w:t>
            </w:r>
          </w:p>
        </w:tc>
        <w:tc>
          <w:tcPr>
            <w:tcW w:w="18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業務工程</w:t>
            </w:r>
          </w:p>
        </w:tc>
        <w:tc>
          <w:tcPr>
            <w:tcW w:w="75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・本業務の契約候補者選定後から業務開始までの本町との協議や業務実施体制の構築等、業務実施の準備について、内容とスケジュールを記載すること。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・契約期間５年間の業務工程等についても具体的に記載すること。</w:t>
            </w:r>
          </w:p>
        </w:tc>
      </w:tr>
      <w:tr>
        <w:trPr>
          <w:trHeight w:val="905" w:hRule="exact"/>
        </w:trPr>
        <w:tc>
          <w:tcPr>
            <w:tcW w:w="6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leftChars="0" w:right="0" w:righ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4</w:t>
            </w:r>
          </w:p>
        </w:tc>
        <w:tc>
          <w:tcPr>
            <w:tcW w:w="18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保守点検業務の</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品質・効率性</w:t>
            </w:r>
          </w:p>
        </w:tc>
        <w:tc>
          <w:tcPr>
            <w:tcW w:w="75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・業務の品質及び効率性を向上させ、施設の安全性をより高めるための考え方や仕組みを具体的に記載すること。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・保守点検業務の業務フローを記載すること。</w:t>
            </w:r>
          </w:p>
        </w:tc>
      </w:tr>
      <w:tr>
        <w:trPr>
          <w:trHeight w:val="724" w:hRule="exact"/>
        </w:trPr>
        <w:tc>
          <w:tcPr>
            <w:tcW w:w="6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leftChars="0" w:right="0" w:righ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5</w:t>
            </w:r>
          </w:p>
        </w:tc>
        <w:tc>
          <w:tcPr>
            <w:tcW w:w="18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leftChars="0" w:right="0" w:rightChars="0" w:firstLine="0" w:firstLineChars="0"/>
              <w:jc w:val="left"/>
              <w:rPr>
                <w:rFonts w:hint="default"/>
                <w:sz w:val="22"/>
              </w:rPr>
            </w:pPr>
            <w:r>
              <w:rPr>
                <w:rFonts w:hint="default"/>
                <w:color w:val="000000"/>
                <w:spacing w:val="0"/>
                <w:w w:val="100"/>
                <w:position w:val="0"/>
                <w:sz w:val="22"/>
              </w:rPr>
              <w:t>巡回点検業務の</w:t>
            </w:r>
          </w:p>
          <w:p>
            <w:pPr>
              <w:pStyle w:val="18"/>
              <w:keepNext w:val="0"/>
              <w:keepLines w:val="0"/>
              <w:widowControl w:val="0"/>
              <w:shd w:val="clear" w:color="auto" w:fill="auto"/>
              <w:spacing w:before="0" w:beforeLines="0" w:beforeAutospacing="0" w:after="0" w:afterLines="0" w:afterAutospacing="0" w:line="260" w:lineRule="exact"/>
              <w:ind w:left="0" w:leftChars="0" w:right="0" w:rightChars="0" w:firstLine="0" w:firstLineChars="0"/>
              <w:jc w:val="left"/>
              <w:rPr>
                <w:rFonts w:hint="default"/>
                <w:sz w:val="22"/>
              </w:rPr>
            </w:pPr>
            <w:r>
              <w:rPr>
                <w:rFonts w:hint="default"/>
                <w:color w:val="000000"/>
                <w:spacing w:val="0"/>
                <w:w w:val="100"/>
                <w:position w:val="0"/>
                <w:sz w:val="22"/>
              </w:rPr>
              <w:t>品質・効率性</w:t>
            </w:r>
          </w:p>
        </w:tc>
        <w:tc>
          <w:tcPr>
            <w:tcW w:w="75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・巡回点検の実施内容、実施体制、方法、頻度、またそれによって得られる効果について、具体的に記載すること。</w:t>
            </w:r>
          </w:p>
        </w:tc>
      </w:tr>
      <w:tr>
        <w:trPr>
          <w:trHeight w:val="2353" w:hRule="exact"/>
        </w:trPr>
        <w:tc>
          <w:tcPr>
            <w:tcW w:w="6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leftChars="0" w:right="0" w:righ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6</w:t>
            </w:r>
          </w:p>
        </w:tc>
        <w:tc>
          <w:tcPr>
            <w:tcW w:w="18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修繕業務の品質・</w:t>
            </w:r>
            <w:r>
              <w:rPr>
                <w:rFonts w:hint="default"/>
                <w:color w:val="000000"/>
                <w:spacing w:val="0"/>
                <w:w w:val="100"/>
                <w:position w:val="0"/>
                <w:sz w:val="22"/>
              </w:rPr>
              <w:t xml:space="preserve"> </w:t>
            </w:r>
            <w:r>
              <w:rPr>
                <w:rFonts w:hint="default"/>
                <w:color w:val="000000"/>
                <w:spacing w:val="0"/>
                <w:w w:val="100"/>
                <w:position w:val="0"/>
                <w:sz w:val="22"/>
              </w:rPr>
              <w:t>効率性</w:t>
            </w:r>
          </w:p>
        </w:tc>
        <w:tc>
          <w:tcPr>
            <w:tcW w:w="75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・修繕業務を適正かつ効率的に実施し、施設の安全性をより高めるための考え方や仕組みを具体的に記載すること。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・修繕業務の業務フローを記載すること。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・本業務は業務実績に基づく</w:t>
            </w:r>
            <w:bookmarkStart w:id="0" w:name="_GoBack"/>
            <w:bookmarkEnd w:id="0"/>
            <w:r>
              <w:rPr>
                <w:rFonts w:hint="default"/>
                <w:color w:val="000000"/>
                <w:spacing w:val="0"/>
                <w:w w:val="100"/>
                <w:position w:val="0"/>
                <w:sz w:val="22"/>
              </w:rPr>
              <w:t>精算方式とするため、競争性の確保及び費用低減につながる手法等について、具体的な提案があれば記載すること。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・自社対応できる技術力を有しているか記載すること。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・本業務実施の考え方や仕組みの中で、本町の事務負担軽減に資する事項があれば具体的に記載すること。</w:t>
            </w:r>
          </w:p>
        </w:tc>
      </w:tr>
      <w:tr>
        <w:trPr>
          <w:trHeight w:val="2353" w:hRule="exact"/>
        </w:trPr>
        <w:tc>
          <w:tcPr>
            <w:tcW w:w="6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leftChars="0" w:right="0" w:righ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7</w:t>
            </w:r>
          </w:p>
        </w:tc>
        <w:tc>
          <w:tcPr>
            <w:tcW w:w="18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町内事業者等</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との協力体制・</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活用方法</w:t>
            </w:r>
          </w:p>
        </w:tc>
        <w:tc>
          <w:tcPr>
            <w:tcW w:w="75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・本業務の実施に当たり、町内事業者との協力体制、活用方法についての考え方を記載すること。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・町内事業者を現行と同等かそれ以上の水準で活用するための提案があれば具体的に記載すること。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・業務準備期間における町内事業者や現受託者との契約等の引継ぎ手法やスケジュールについて記載すること。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・町内事業者の経営基盤の向上、受注機会の拡大等に資する提案があれば記載すること。</w:t>
            </w:r>
          </w:p>
        </w:tc>
      </w:tr>
      <w:tr>
        <w:trPr>
          <w:trHeight w:val="1790" w:hRule="exact"/>
        </w:trPr>
        <w:tc>
          <w:tcPr>
            <w:tcW w:w="65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leftChars="0" w:right="0" w:righ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8</w:t>
            </w:r>
          </w:p>
        </w:tc>
        <w:tc>
          <w:tcPr>
            <w:tcW w:w="180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追加サービス・</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独自提案</w:t>
            </w:r>
          </w:p>
        </w:tc>
        <w:tc>
          <w:tcPr>
            <w:tcW w:w="7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・仕様書に規定する業務以外に、適正かつ効率的な施設維持管理、建物の長寿命化、ライフサイクルコストの低減等に効果が期待できる追加サービスの提案があれば記載すること。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・提案事業者ならではのノウハウや強みを生かした独自提案があれば記載すること。</w:t>
            </w:r>
          </w:p>
          <w:p>
            <w:pPr>
              <w:pStyle w:val="18"/>
              <w:keepNext w:val="0"/>
              <w:keepLines w:val="0"/>
              <w:widowControl w:val="0"/>
              <w:shd w:val="clear" w:color="auto" w:fill="auto"/>
              <w:spacing w:before="0" w:beforeLines="0" w:beforeAutospacing="0" w:after="0" w:afterLines="0" w:afterAutospacing="0" w:line="260" w:lineRule="exact"/>
              <w:ind w:left="0" w:right="0" w:firstLine="0"/>
              <w:jc w:val="left"/>
              <w:rPr>
                <w:rFonts w:hint="default"/>
                <w:sz w:val="22"/>
              </w:rPr>
            </w:pPr>
            <w:r>
              <w:rPr>
                <w:rFonts w:hint="default"/>
                <w:color w:val="000000"/>
                <w:spacing w:val="0"/>
                <w:w w:val="100"/>
                <w:position w:val="0"/>
                <w:sz w:val="22"/>
              </w:rPr>
              <w:t>・その他、特にアピールしたい点があれば記載すること。</w:t>
            </w:r>
          </w:p>
        </w:tc>
      </w:tr>
    </w:tbl>
    <w:p>
      <w:pPr>
        <w:pStyle w:val="0"/>
        <w:rPr>
          <w:rFonts w:hint="eastAsia"/>
          <w:sz w:val="28"/>
        </w:rPr>
      </w:pPr>
    </w:p>
    <w:sectPr>
      <w:pgSz w:w="11906" w:h="16838"/>
      <w:pgMar w:top="1134" w:right="850" w:bottom="850" w:left="850" w:header="897" w:footer="897"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テーブルのキャプション|1_"/>
    <w:basedOn w:val="10"/>
    <w:next w:val="15"/>
    <w:link w:val="17"/>
    <w:uiPriority w:val="0"/>
    <w:rPr>
      <w:b w:val="1"/>
      <w:sz w:val="22"/>
      <w:u w:val="none" w:color="auto"/>
      <w:shd w:val="clear" w:color="auto" w:fill="auto"/>
    </w:rPr>
  </w:style>
  <w:style w:type="character" w:styleId="16" w:customStyle="1">
    <w:name w:val="その他|1_"/>
    <w:basedOn w:val="10"/>
    <w:next w:val="16"/>
    <w:link w:val="18"/>
    <w:uiPriority w:val="0"/>
    <w:rPr>
      <w:sz w:val="22"/>
      <w:u w:val="none" w:color="auto"/>
      <w:shd w:val="clear" w:color="auto" w:fill="auto"/>
    </w:rPr>
  </w:style>
  <w:style w:type="paragraph" w:styleId="17" w:customStyle="1">
    <w:name w:val="テーブルのキャプション|1"/>
    <w:basedOn w:val="0"/>
    <w:next w:val="17"/>
    <w:link w:val="15"/>
    <w:uiPriority w:val="0"/>
    <w:pPr>
      <w:widowControl w:val="0"/>
      <w:shd w:val="clear" w:color="auto" w:fill="auto"/>
    </w:pPr>
    <w:rPr>
      <w:b w:val="1"/>
      <w:sz w:val="22"/>
      <w:u w:val="none" w:color="auto"/>
      <w:shd w:val="clear" w:color="auto" w:fill="auto"/>
    </w:rPr>
  </w:style>
  <w:style w:type="paragraph" w:styleId="18" w:customStyle="1">
    <w:name w:val="その他|1"/>
    <w:basedOn w:val="0"/>
    <w:next w:val="18"/>
    <w:link w:val="16"/>
    <w:uiPriority w:val="0"/>
    <w:pPr>
      <w:widowControl w:val="0"/>
      <w:shd w:val="clear" w:color="auto" w:fill="auto"/>
      <w:spacing w:line="365" w:lineRule="exact"/>
    </w:pPr>
    <w:rPr>
      <w:sz w:val="22"/>
      <w:u w:val="none" w:color="auto"/>
      <w:shd w:val="clear" w:color="auto" w:fill="auto"/>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8</Words>
  <Characters>1211</Characters>
  <Application>JUST Note</Application>
  <Lines>72</Lines>
  <Paragraphs>50</Paragraphs>
  <CharactersWithSpaces>1213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菱沼 大介</dc:creator>
  <cp:lastModifiedBy>(TS) 高原 茂</cp:lastModifiedBy>
  <cp:lastPrinted>2025-07-23T11:57:06Z</cp:lastPrinted>
  <dcterms:modified xsi:type="dcterms:W3CDTF">2025-07-23T11:57:52Z</dcterms:modified>
  <cp:revision>3</cp:revision>
</cp:coreProperties>
</file>