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0" w:type="dxa"/>
        <w:tblLayout w:type="fixed"/>
        <w:tblLook w:firstRow="1" w:lastRow="0" w:firstColumn="1" w:lastColumn="0" w:noHBand="0" w:noVBand="1" w:val="04A0"/>
      </w:tblPr>
      <w:tblGrid>
        <w:gridCol w:w="625"/>
        <w:gridCol w:w="630"/>
        <w:gridCol w:w="1470"/>
        <w:gridCol w:w="6510"/>
        <w:gridCol w:w="630"/>
      </w:tblGrid>
      <w:tr>
        <w:trPr/>
        <w:tc>
          <w:tcPr>
            <w:tcW w:w="625"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区分</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番号</w:t>
            </w:r>
          </w:p>
        </w:tc>
        <w:tc>
          <w:tcPr>
            <w:tcW w:w="147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項目</w:t>
            </w:r>
          </w:p>
        </w:tc>
        <w:tc>
          <w:tcPr>
            <w:tcW w:w="651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記載内容</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配点</w:t>
            </w:r>
          </w:p>
        </w:tc>
      </w:tr>
      <w:tr>
        <w:trPr>
          <w:trHeight w:val="720" w:hRule="atLeast"/>
        </w:trPr>
        <w:tc>
          <w:tcPr>
            <w:tcW w:w="625" w:type="dxa"/>
            <w:vMerge w:val="restart"/>
            <w:vAlign w:val="top"/>
          </w:tcPr>
          <w:p>
            <w:pPr>
              <w:pStyle w:val="0"/>
              <w:jc w:val="center"/>
              <w:rPr>
                <w:rFonts w:hint="eastAsia" w:ascii="游ゴシック" w:hAnsi="游ゴシック" w:eastAsia="游ゴシック"/>
                <w:sz w:val="18"/>
              </w:rPr>
            </w:pPr>
            <w:r>
              <w:rPr>
                <w:rFonts w:hint="eastAsia" w:ascii="游ゴシック" w:hAnsi="游ゴシック" w:eastAsia="游ゴシック"/>
                <w:sz w:val="18"/>
              </w:rPr>
              <w:t>企画提案</w:t>
            </w: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1</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業務実施方針</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・本業務の実施目的を十分理解しているか。</w:t>
            </w:r>
          </w:p>
          <w:p>
            <w:pPr>
              <w:pStyle w:val="0"/>
              <w:rPr>
                <w:rFonts w:hint="eastAsia" w:ascii="游ゴシック" w:hAnsi="游ゴシック" w:eastAsia="游ゴシック"/>
                <w:sz w:val="18"/>
              </w:rPr>
            </w:pPr>
            <w:r>
              <w:rPr>
                <w:rFonts w:hint="eastAsia" w:ascii="游ゴシック" w:hAnsi="游ゴシック" w:eastAsia="游ゴシック"/>
                <w:sz w:val="18"/>
              </w:rPr>
              <w:t>・本業務に対する基本的な考え方は適切であるか。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5</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2</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業務実施体制、緊急時の対応</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・本業務の実施に十分な組織体制、人員配置となっているか。</w:t>
            </w:r>
          </w:p>
          <w:p>
            <w:pPr>
              <w:pStyle w:val="0"/>
              <w:rPr>
                <w:rFonts w:hint="eastAsia" w:ascii="游ゴシック" w:hAnsi="游ゴシック" w:eastAsia="游ゴシック"/>
                <w:sz w:val="18"/>
              </w:rPr>
            </w:pPr>
            <w:r>
              <w:rPr>
                <w:rFonts w:hint="eastAsia" w:ascii="游ゴシック" w:hAnsi="游ゴシック" w:eastAsia="游ゴシック"/>
                <w:sz w:val="18"/>
              </w:rPr>
              <w:t>・本社等とのバックアップ体制は充実しているか。</w:t>
            </w:r>
          </w:p>
          <w:p>
            <w:pPr>
              <w:pStyle w:val="0"/>
              <w:rPr>
                <w:rFonts w:hint="eastAsia" w:ascii="游ゴシック" w:hAnsi="游ゴシック" w:eastAsia="游ゴシック"/>
                <w:sz w:val="18"/>
              </w:rPr>
            </w:pPr>
            <w:r>
              <w:rPr>
                <w:rFonts w:hint="eastAsia" w:ascii="游ゴシック" w:hAnsi="游ゴシック" w:eastAsia="游ゴシック"/>
                <w:sz w:val="18"/>
              </w:rPr>
              <w:t>・総括責任者や業務責任者、業務従事者等に必要な資質、資格に対する考え方は適当か。</w:t>
            </w:r>
          </w:p>
          <w:p>
            <w:pPr>
              <w:pStyle w:val="0"/>
              <w:rPr>
                <w:rFonts w:hint="eastAsia" w:ascii="游ゴシック" w:hAnsi="游ゴシック" w:eastAsia="游ゴシック"/>
                <w:sz w:val="18"/>
              </w:rPr>
            </w:pPr>
            <w:r>
              <w:rPr>
                <w:rFonts w:hint="eastAsia" w:ascii="游ゴシック" w:hAnsi="游ゴシック" w:eastAsia="游ゴシック"/>
                <w:sz w:val="18"/>
              </w:rPr>
              <w:t>・総括責任者（予定者）は、十分な技術力、マネジメント能力、コミュニケーション能力を有しているか。</w:t>
            </w:r>
          </w:p>
          <w:p>
            <w:pPr>
              <w:pStyle w:val="0"/>
              <w:rPr>
                <w:rFonts w:hint="eastAsia" w:ascii="游ゴシック" w:hAnsi="游ゴシック" w:eastAsia="游ゴシック"/>
                <w:sz w:val="18"/>
              </w:rPr>
            </w:pPr>
            <w:r>
              <w:rPr>
                <w:rFonts w:hint="eastAsia" w:ascii="游ゴシック" w:hAnsi="游ゴシック" w:eastAsia="游ゴシック"/>
                <w:sz w:val="18"/>
              </w:rPr>
              <w:t>・不具合等が発生した場合の対応は、具体性、実現性があり、運営に支障を来たさない体制、提案となっているか。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20</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3</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業務工程</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・契約候補者選定後から業務開始までの準備に無理がなく、スケジュールも適切であるか。</w:t>
            </w:r>
          </w:p>
          <w:p>
            <w:pPr>
              <w:pStyle w:val="0"/>
              <w:rPr>
                <w:rFonts w:hint="eastAsia" w:ascii="游ゴシック" w:hAnsi="游ゴシック" w:eastAsia="游ゴシック"/>
                <w:sz w:val="18"/>
              </w:rPr>
            </w:pPr>
            <w:r>
              <w:rPr>
                <w:rFonts w:hint="eastAsia" w:ascii="游ゴシック" w:hAnsi="游ゴシック" w:eastAsia="游ゴシック"/>
                <w:sz w:val="18"/>
              </w:rPr>
              <w:t>・契約期間５年間の業務工程は効率的かつ実現可能であるか。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5</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4</w:t>
            </w:r>
          </w:p>
        </w:tc>
        <w:tc>
          <w:tcPr>
            <w:tcW w:w="1470" w:type="dxa"/>
            <w:vAlign w:val="top"/>
          </w:tcPr>
          <w:p>
            <w:pPr>
              <w:pStyle w:val="0"/>
              <w:ind w:left="-53" w:leftChars="-25"/>
              <w:jc w:val="left"/>
              <w:rPr>
                <w:rFonts w:hint="eastAsia" w:ascii="游ゴシック" w:hAnsi="游ゴシック" w:eastAsia="游ゴシック"/>
                <w:w w:val="100"/>
                <w:kern w:val="0"/>
                <w:sz w:val="18"/>
              </w:rPr>
            </w:pPr>
            <w:r>
              <w:rPr>
                <w:rFonts w:hint="eastAsia" w:ascii="游ゴシック" w:hAnsi="游ゴシック" w:eastAsia="游ゴシック"/>
                <w:w w:val="100"/>
                <w:kern w:val="0"/>
                <w:sz w:val="18"/>
              </w:rPr>
              <w:t>保守点検業務の品質・効率性</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・高い業務品質及び効率性が期待できるか。</w:t>
            </w:r>
          </w:p>
          <w:p>
            <w:pPr>
              <w:pStyle w:val="0"/>
              <w:rPr>
                <w:rFonts w:hint="eastAsia" w:ascii="游ゴシック" w:hAnsi="游ゴシック" w:eastAsia="游ゴシック"/>
                <w:sz w:val="18"/>
              </w:rPr>
            </w:pPr>
            <w:r>
              <w:rPr>
                <w:rFonts w:hint="eastAsia" w:ascii="游ゴシック" w:hAnsi="游ゴシック" w:eastAsia="游ゴシック"/>
                <w:sz w:val="18"/>
              </w:rPr>
              <w:t>・町、受託者、再委託者の役割分担、業務の流れは適切か。</w:t>
            </w:r>
          </w:p>
          <w:p>
            <w:pPr>
              <w:pStyle w:val="0"/>
              <w:rPr>
                <w:rFonts w:hint="eastAsia" w:ascii="游ゴシック" w:hAnsi="游ゴシック" w:eastAsia="游ゴシック"/>
                <w:sz w:val="18"/>
              </w:rPr>
            </w:pPr>
            <w:r>
              <w:rPr>
                <w:rFonts w:hint="eastAsia" w:ascii="游ゴシック" w:hAnsi="游ゴシック" w:eastAsia="游ゴシック"/>
                <w:sz w:val="18"/>
              </w:rPr>
              <w:t>・本町の事務負担軽減に資する仕組みとなっているか。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20</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5</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巡回点検業務の品質・効率性</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・巡回点検の内容は、品質を維持向上し、施設の安全性を確保できる充実した提案となっているか。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10</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6</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修繕業務の品質・効率性</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・高い業務品質及び効率性が期待できるか。</w:t>
            </w:r>
          </w:p>
          <w:p>
            <w:pPr>
              <w:pStyle w:val="0"/>
              <w:rPr>
                <w:rFonts w:hint="eastAsia" w:ascii="游ゴシック" w:hAnsi="游ゴシック" w:eastAsia="游ゴシック"/>
                <w:sz w:val="18"/>
              </w:rPr>
            </w:pPr>
            <w:r>
              <w:rPr>
                <w:rFonts w:hint="eastAsia" w:ascii="游ゴシック" w:hAnsi="游ゴシック" w:eastAsia="游ゴシック"/>
                <w:sz w:val="18"/>
              </w:rPr>
              <w:t>・施設の長寿命化及びライフサイクルコストの低減に資する具体策があるか。</w:t>
            </w:r>
          </w:p>
          <w:p>
            <w:pPr>
              <w:pStyle w:val="0"/>
              <w:rPr>
                <w:rFonts w:hint="eastAsia" w:ascii="游ゴシック" w:hAnsi="游ゴシック" w:eastAsia="游ゴシック"/>
                <w:sz w:val="18"/>
              </w:rPr>
            </w:pPr>
            <w:r>
              <w:rPr>
                <w:rFonts w:hint="eastAsia" w:ascii="游ゴシック" w:hAnsi="游ゴシック" w:eastAsia="游ゴシック"/>
                <w:sz w:val="18"/>
              </w:rPr>
              <w:t>・精算方式とする修繕費について、競争性の確保及び費用低減につながる方策が示されているか。</w:t>
            </w:r>
          </w:p>
          <w:p>
            <w:pPr>
              <w:pStyle w:val="0"/>
              <w:rPr>
                <w:rFonts w:hint="eastAsia" w:ascii="游ゴシック" w:hAnsi="游ゴシック" w:eastAsia="游ゴシック"/>
                <w:sz w:val="18"/>
              </w:rPr>
            </w:pPr>
            <w:r>
              <w:rPr>
                <w:rFonts w:hint="eastAsia" w:ascii="游ゴシック" w:hAnsi="游ゴシック" w:eastAsia="游ゴシック"/>
                <w:sz w:val="18"/>
              </w:rPr>
              <w:t>・自社対応できる技術力を有しているか。</w:t>
            </w:r>
          </w:p>
          <w:p>
            <w:pPr>
              <w:pStyle w:val="0"/>
              <w:rPr>
                <w:rFonts w:hint="eastAsia" w:ascii="游ゴシック" w:hAnsi="游ゴシック" w:eastAsia="游ゴシック"/>
                <w:sz w:val="18"/>
              </w:rPr>
            </w:pPr>
            <w:r>
              <w:rPr>
                <w:rFonts w:hint="eastAsia" w:ascii="游ゴシック" w:hAnsi="游ゴシック" w:eastAsia="游ゴシック"/>
                <w:sz w:val="18"/>
              </w:rPr>
              <w:t>・本町の事務負担軽減に資する仕組みとなっているか。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20</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7</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町内事業者等との協力体制・活用方法</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・町内事業者の活用の程度は十分か。</w:t>
            </w:r>
          </w:p>
          <w:p>
            <w:pPr>
              <w:pStyle w:val="0"/>
              <w:rPr>
                <w:rFonts w:hint="eastAsia" w:ascii="游ゴシック" w:hAnsi="游ゴシック" w:eastAsia="游ゴシック"/>
                <w:sz w:val="18"/>
              </w:rPr>
            </w:pPr>
            <w:r>
              <w:rPr>
                <w:rFonts w:hint="eastAsia" w:ascii="游ゴシック" w:hAnsi="游ゴシック" w:eastAsia="游ゴシック"/>
                <w:sz w:val="18"/>
              </w:rPr>
              <w:t>・準備期間における町内事業者等との引継ぎ手法やスケジュールは適切であるか。</w:t>
            </w:r>
          </w:p>
          <w:p>
            <w:pPr>
              <w:pStyle w:val="0"/>
              <w:rPr>
                <w:rFonts w:hint="eastAsia" w:ascii="游ゴシック" w:hAnsi="游ゴシック" w:eastAsia="游ゴシック"/>
                <w:sz w:val="18"/>
              </w:rPr>
            </w:pPr>
            <w:r>
              <w:rPr>
                <w:rFonts w:hint="eastAsia" w:ascii="游ゴシック" w:hAnsi="游ゴシック" w:eastAsia="游ゴシック"/>
                <w:sz w:val="18"/>
              </w:rPr>
              <w:t>・町内事業者の経営基盤の向上、受注機会の拡大等に資することが期待できるか。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15</w:t>
            </w:r>
          </w:p>
        </w:tc>
      </w:tr>
      <w:tr>
        <w:trPr/>
        <w:tc>
          <w:tcPr>
            <w:tcW w:w="625" w:type="dxa"/>
            <w:vMerge w:val="continue"/>
            <w:vAlign w:val="top"/>
          </w:tcPr>
          <w:p>
            <w:pPr>
              <w:pStyle w:val="0"/>
              <w:rPr>
                <w:rFonts w:hint="eastAsia"/>
              </w:rPr>
            </w:pP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8</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追加サービス・独自提案</w:t>
            </w:r>
          </w:p>
        </w:tc>
        <w:tc>
          <w:tcPr>
            <w:tcW w:w="6510" w:type="dxa"/>
            <w:vAlign w:val="top"/>
          </w:tcPr>
          <w:p>
            <w:pPr>
              <w:pStyle w:val="0"/>
              <w:rPr>
                <w:rFonts w:hint="eastAsia" w:ascii="游ゴシック" w:hAnsi="游ゴシック" w:eastAsia="游ゴシック"/>
                <w:sz w:val="18"/>
              </w:rPr>
            </w:pPr>
            <w:r>
              <w:rPr>
                <w:rFonts w:hint="eastAsia" w:ascii="游ゴシック" w:hAnsi="游ゴシック" w:eastAsia="游ゴシック"/>
                <w:sz w:val="18"/>
              </w:rPr>
              <w:t>・適正かつ効率的な施設維持管理、建物の長寿命化、ライフサイクルコストの低減等に効果が期待できる追加サービスや独自のノウハウの提案があるか。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10</w:t>
            </w:r>
          </w:p>
        </w:tc>
      </w:tr>
      <w:tr>
        <w:trPr/>
        <w:tc>
          <w:tcPr>
            <w:tcW w:w="625" w:type="dxa"/>
            <w:vAlign w:val="top"/>
          </w:tcPr>
          <w:p>
            <w:pPr>
              <w:pStyle w:val="0"/>
              <w:jc w:val="center"/>
              <w:rPr>
                <w:rFonts w:hint="eastAsia" w:ascii="游ゴシック" w:hAnsi="游ゴシック" w:eastAsia="游ゴシック"/>
                <w:sz w:val="18"/>
              </w:rPr>
            </w:pPr>
            <w:r>
              <w:rPr>
                <w:rFonts w:hint="eastAsia" w:ascii="游ゴシック" w:hAnsi="游ゴシック" w:eastAsia="游ゴシック"/>
                <w:sz w:val="18"/>
              </w:rPr>
              <w:t>業務実績</w:t>
            </w:r>
          </w:p>
        </w:tc>
        <w:tc>
          <w:tcPr>
            <w:tcW w:w="630" w:type="dxa"/>
            <w:vAlign w:val="top"/>
          </w:tcPr>
          <w:p>
            <w:pPr>
              <w:pStyle w:val="0"/>
              <w:jc w:val="right"/>
              <w:rPr>
                <w:rFonts w:hint="eastAsia" w:ascii="游ゴシック" w:hAnsi="游ゴシック" w:eastAsia="游ゴシック"/>
                <w:sz w:val="18"/>
              </w:rPr>
            </w:pPr>
            <w:r>
              <w:rPr>
                <w:rFonts w:hint="eastAsia" w:ascii="游ゴシック" w:hAnsi="游ゴシック" w:eastAsia="游ゴシック"/>
                <w:sz w:val="18"/>
              </w:rPr>
              <w:t>9</w:t>
            </w:r>
          </w:p>
        </w:tc>
        <w:tc>
          <w:tcPr>
            <w:tcW w:w="1470" w:type="dxa"/>
            <w:vAlign w:val="top"/>
          </w:tcPr>
          <w:p>
            <w:pPr>
              <w:pStyle w:val="0"/>
              <w:ind w:left="-53" w:leftChars="-25"/>
              <w:jc w:val="left"/>
              <w:rPr>
                <w:rFonts w:hint="eastAsia" w:ascii="游ゴシック" w:hAnsi="游ゴシック" w:eastAsia="游ゴシック"/>
                <w:kern w:val="0"/>
                <w:sz w:val="18"/>
              </w:rPr>
            </w:pPr>
            <w:r>
              <w:rPr>
                <w:rFonts w:hint="eastAsia" w:ascii="游ゴシック" w:hAnsi="游ゴシック" w:eastAsia="游ゴシック"/>
                <w:kern w:val="0"/>
                <w:sz w:val="18"/>
              </w:rPr>
              <w:t>業務実績</w:t>
            </w:r>
          </w:p>
        </w:tc>
        <w:tc>
          <w:tcPr>
            <w:tcW w:w="6510" w:type="dxa"/>
            <w:vAlign w:val="top"/>
          </w:tcPr>
          <w:p>
            <w:pPr>
              <w:pStyle w:val="0"/>
              <w:rPr>
                <w:rFonts w:hint="eastAsia" w:ascii="游ゴシック" w:hAnsi="游ゴシック" w:eastAsia="游ゴシック"/>
                <w:i w:val="1"/>
                <w:color w:val="FF0000"/>
                <w:sz w:val="18"/>
                <w:u w:val="single" w:color="auto"/>
              </w:rPr>
            </w:pPr>
            <w:r>
              <w:rPr>
                <w:rFonts w:hint="eastAsia" w:ascii="游ゴシック" w:hAnsi="游ゴシック" w:eastAsia="游ゴシック"/>
                <w:sz w:val="18"/>
              </w:rPr>
              <w:t>・本業務と同種又は類似業務の実績は豊富か。</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10</w:t>
            </w:r>
          </w:p>
        </w:tc>
      </w:tr>
      <w:tr>
        <w:trPr/>
        <w:tc>
          <w:tcPr>
            <w:tcW w:w="923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合計</w:t>
            </w:r>
          </w:p>
        </w:tc>
        <w:tc>
          <w:tcPr>
            <w:tcW w:w="630" w:type="dxa"/>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115</w:t>
            </w:r>
          </w:p>
        </w:tc>
      </w:tr>
    </w:tbl>
    <w:p>
      <w:pPr>
        <w:pStyle w:val="0"/>
        <w:rPr>
          <w:rFonts w:hint="eastAsia"/>
        </w:rPr>
      </w:pPr>
      <w:bookmarkStart w:id="0" w:name="_GoBack"/>
      <w:bookmarkEnd w:id="0"/>
    </w:p>
    <w:sectPr>
      <w:headerReference r:id="rId5" w:type="default"/>
      <w:pgSz w:w="11906" w:h="16838"/>
      <w:pgMar w:top="1701" w:right="1049" w:bottom="1020" w:left="1049"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ascii="游ゴシック" w:hAnsi="游ゴシック" w:eastAsia="游ゴシック"/>
      </w:rPr>
      <w:t>別表２　審査基準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19</Words>
  <Characters>886</Characters>
  <Application>JUST Note</Application>
  <Lines>84</Lines>
  <Paragraphs>59</Paragraphs>
  <CharactersWithSpaces>886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高原 茂</cp:lastModifiedBy>
  <cp:lastPrinted>2025-07-24T07:04:21Z</cp:lastPrinted>
  <dcterms:modified xsi:type="dcterms:W3CDTF">2025-07-24T05:16:28Z</dcterms:modified>
  <cp:revision>0</cp:revision>
</cp:coreProperties>
</file>